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34"/>
        <w:gridCol w:w="553"/>
        <w:gridCol w:w="66"/>
        <w:gridCol w:w="513"/>
        <w:gridCol w:w="1148"/>
        <w:gridCol w:w="235"/>
        <w:gridCol w:w="1771"/>
        <w:gridCol w:w="562"/>
        <w:gridCol w:w="276"/>
        <w:gridCol w:w="2138"/>
        <w:gridCol w:w="284"/>
        <w:gridCol w:w="1560"/>
      </w:tblGrid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 №__________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проведение работ по подтверждению соответствия продукции,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выпускаемой в обращение на единой таможенной территории ТС (ЕАЭС)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5382" w:type="dxa"/>
            <w:gridSpan w:val="8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4258" w:type="dxa"/>
            <w:gridSpan w:val="4"/>
            <w:shd w:val="clear" w:color="auto" w:fill="auto"/>
          </w:tcPr>
          <w:p w:rsidR="005C3445" w:rsidRPr="007959A6" w:rsidRDefault="005C3445" w:rsidP="003E7A44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Стороны: орган по подтверждению соответствия ТОО «КАЗЭКСПОАУДИТ», включенный в Единый реестр органов по сертификации и испытательных лабораторий (це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тров) Таможенного союза №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KZ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.___________, именуемый в дальнейшем «Исполнитель», в лице Генерального директора Инюшиной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Л.В., действующей на основании Устава, с одной стороны, и _________________________________, именуемый (-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 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в дальнейшем «З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явитель», с другой стороны, в лице _________________________________, действующей (-его) на основании _________________________________, заключили настоящий договор о нижеследующем: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Заявитель, ознакомившись с Порядком проведения работ по подтверждению соответствия продукции, выпускаемой в обращение на единой таможенной территории ТС (ЕАЭС), поручает, а Исполнитель принимает на себя выполнение работ по проведению подтвержд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соответствия продукции требованиям технических регламентов ТС (ЕАЭС) с целью выдачи сертификата соответствия и/или регистрации декларации о соответствии (далее – документ о подтверждении соответствия) по схеме подтверждения соответствия, опред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ленной в заявке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сертификацию и/или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заявлении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регистрацию декларации о соотве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ствии, поданной Заявителем и зарегистрированной Исполнителем.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СТОРОН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43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Стороны обязуются соблюдать в полном объеме все правила, обязанности и порядок пр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ведения работ по подтверждению соответствия продукции, выпускаемой в обращение на единой таможенной территории ТС (ЕАЭС), утвержденные Комиссией Таможенного со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за, Евразийской экономической комиссией.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4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 обязуется: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Оплатить в установленном порядке все расходы согласно схеме, связанные с проведением работ по подтверждению соответствия продукции, выпускаемой в обращение на единой таможенной территории ТС (ЕАЭС), независимо от результатов.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Предоставить Исполнителю необходимые нормативные и другие документы, устанавл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вающие требования к продукции, позволяющие идентифицировать продукцию и оценить ее соответствие требованиям технического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(-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их) регламента (-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ТС (ЕАЭС).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Обеспечить отбор проб продукции в соответствии с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действующими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нормативными док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ментам (если предусмотрено схемой подтверждения соответствия).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Возместить понесенные Исполнителем фактические затраты в размере выполненных работ по подтверждению соответствия продукции, выпускаемой в обращение на единой там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женной территории ТС (ЕАЭС), в случае отзыва заявки по инициативе Заявителя до того, как она была полностью исполнена.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 выполнять требования Исполнителя, предъявляемые, согласно действующим нормативным документам, включая реализацию соответствующих изменений, доведенных до него Исполнителем.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постоянное соответствие продукции, прошедшей процедуру подтверждения соответствия, предъявляемым к ней требованиям.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Предпринимать все необходимые меры для: проведения работ по подтверждению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соотве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ствия (инспекционного контроля, повторной оценки и др.) продукции согласно выбранной схемы подтверждения соответствия, в том числе для проверки документации и записей, обеспечения доступа к соответствующему оборудованию, участкам, протоколам (включая отчеты о внутренних проверках), персоналу и субподрядчикам; разрешения претензий (апелляций); участия наблюдателей при необходимости.</w:t>
            </w:r>
            <w:proofErr w:type="gramEnd"/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случае необходимости предъявить претензии, касающиеся подтверждения соответствия только в той сфере деятельности, применительно к которой был оформлен документ о по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тверждении соответствия.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использовать документ о подтверждении соответствия на продукцию таким образом, чтобы это создало ущерб репутации Исполнителя, и не делать никаких заявлений, каса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подтверждения соответствия продукции, которые можно считать вводящими в з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блуждение или неправомерными.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приостановления действия, прекращения действия или аннулирования документа о подтверждении соответствия, прекратить использование всех рекламных материалов, содержащих ссылку на него, возвратить по требованию Исполнителя любые документы по подтверждению соответствия продукции, и любые другие необходимые меры.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принятия решения о прекращении действия декларации о соответствии направить Исполнителю в письменной форме уведомление о принятом решении, </w:t>
            </w:r>
            <w:proofErr w:type="spellStart"/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-санное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заверенное печатью Заявителя, имеющее дату и регистрационный номер 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-рации о соо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ветствии, с Приложением экземпляра декларации о соответствии.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документ о подтверждении соответствия только для подтверждения того, что продукция прошла все необходимые процедуры на соответствие установленным тр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бованиям.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правила сопровождения продукции, прошедшей подтверждение соответствия, копиями документов о подтверждении соответствия и, в случае, предоставления копий документов другим лицам воспроизводить их полностью и согласно действующему закон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дательству.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ссылках на подтверждение соответствия своей продукции в средствах информации (в документах, брошюрах или рекламных материалах) подчиняться требованиям Исполнит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 и процедурам подтверждения соответствия.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использовать документ о подтверждении соответствия для того, чтобы ввести кого-либо в заблуждение.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Вести записи обо всех жалобах, ставших ему известными, которые касаются соблюдения требований подтверждения соответствия, предоставлять эти записи Исполнителю по его запросу; принимать соответствующие меры по отношению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таким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жалобам и любым 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достаткам, обнаруженным в продукции и документировать предпринятые действия.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все требования, предписываемые схемой подтверждения соответствия, действующими нормативными документами и процедурами Исполнителя, в отношении использования единого знака обращения продукции (ЕАС); требования к информации о пр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дукции.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известить Исполнителя в случае изменений, которые могут повлиять на его возможность соблюдать требования подтверждения соответствия: изменении в ко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струкции, характеристиках продукции или методе производства; изменении требований стандартов, которым должна соответствовать продукция; изменении юридического, ко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мерческого, организационного статуса или формы собственности; изменения контактных данных и местоположения производства; существенных изменений в системе менеджме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та, а также в случае поступления информации, указывающей на то, что продукция не м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 больше соответствовать требованиям, предъявляемым при подтверждении соотве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 изменений перечисленных в п.2.2.18 предоставить Исполнителю возмо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ность проведения повторной оценки, в объемах определенных Исполнителем, и не реал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зовывать продукцию, прошедшую подтверждение соответствия, на которую был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получен документ о подтверждении соответствия, до тех пор, пока Исполнитель не подтвердит с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ответствие продукции при повторной оценке.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случае подтверждения соответствия продукции путем сертификации, хранить контрол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образцы продукции (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наличия условий хранения) до проведения очередного и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спекционного контроля, либо окончания срока действия сертификата соответствия, и ре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лизовывать их в последнюю очередь.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получении документа о подтверждении соответствия Заявитель обязуется:</w:t>
            </w:r>
          </w:p>
          <w:p w:rsidR="005C3445" w:rsidRPr="007959A6" w:rsidRDefault="005C3445" w:rsidP="005C3445">
            <w:pPr>
              <w:numPr>
                <w:ilvl w:val="0"/>
                <w:numId w:val="11"/>
              </w:numPr>
              <w:tabs>
                <w:tab w:val="left" w:pos="601"/>
                <w:tab w:val="left" w:pos="1310"/>
              </w:tabs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маркирование единым знаком обращения продукции (ЕАЭС) перед выпуском продукции в обращение на рынке, согласно Решению Комиссии Таможенного союза от 15 июля 2011г. № 711 (с учетом актуальных изменений) «Положения о едином знаке обращения продукции на рынке государств – членов Таможенного союза»;</w:t>
            </w:r>
          </w:p>
          <w:p w:rsidR="005C3445" w:rsidRPr="007959A6" w:rsidRDefault="005C3445" w:rsidP="005C3445">
            <w:pPr>
              <w:numPr>
                <w:ilvl w:val="0"/>
                <w:numId w:val="11"/>
              </w:numPr>
              <w:tabs>
                <w:tab w:val="left" w:pos="601"/>
                <w:tab w:val="left" w:pos="1310"/>
              </w:tabs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наносить единый знак обращения продукции (ЕАС) на каждую единицу продукции, упаковки и в эксплуатационные документы, любым способом, обеспечивающим его четкое и ясное изображение.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нанесение единого знака обращения продукции (ЕАС) только на упаковку и в эксплуатационные документы, если его невозможно нанести неп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средственно на продукцию;</w:t>
            </w:r>
            <w:proofErr w:type="gramEnd"/>
          </w:p>
          <w:p w:rsidR="005C3445" w:rsidRPr="007959A6" w:rsidRDefault="005C3445" w:rsidP="005C3445">
            <w:pPr>
              <w:numPr>
                <w:ilvl w:val="0"/>
                <w:numId w:val="11"/>
              </w:numPr>
              <w:tabs>
                <w:tab w:val="left" w:pos="601"/>
                <w:tab w:val="left" w:pos="1310"/>
              </w:tabs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продукция, соответствие которой не подтверждено требованиям технических регл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ментов ТС (ЕАЭС), не должна быть маркирована единым знаком обращения продукции на рынке государств-членов ТС (ЕАЭС)</w:t>
            </w: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 допускается к выпуску в обращение на единой таможенной территории ТС (ЕАЭС);</w:t>
            </w:r>
          </w:p>
          <w:p w:rsidR="005C3445" w:rsidRPr="007959A6" w:rsidRDefault="005C3445" w:rsidP="005C3445">
            <w:pPr>
              <w:numPr>
                <w:ilvl w:val="0"/>
                <w:numId w:val="11"/>
              </w:numPr>
              <w:tabs>
                <w:tab w:val="left" w:pos="601"/>
                <w:tab w:val="left" w:pos="1310"/>
              </w:tabs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все требования к технической, эксплуатационной и иной документации, установленной требованиями технического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(-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их) регламента (-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ТС (ЕАЭС), на соотве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ствие которым проводится подтверждение соответствия.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обязуется: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объективную оценку соответствия заявленной продукции на основании р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зультатов испытаний, проведенных в аккредитованном Испытательном центре ТОО «КАЗЭКСПОАУДИТ», включенном в Единый реестр органов по сертификации и испытательных лабораторий (центров) ТС (ЕАЭС), № 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KZ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.___________, а также, при необх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димости, на основании результатов испытаний, проведенных по договорам на субподря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работы _____________№ 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KZ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.________.*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объективную оценку соответствия заявленной продукции на основании анал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предоставленных Заявителем документов, подтверждающих соответствие требованиям безопасности технических регламентов Таможенного союза.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положительных результатах испытаний и/или анализа предоставленных Заявителем документов, подтверждающих соответствие требованиям безопасности технического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(-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их) регламента (-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ТС (ЕАЭС), и при положительных результатах анализа состояния прои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водства (если предусмотрено схемой подтверждения соответствия) выдать сертификат с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ответствия или зарегистрировать декларацию о соответствии сроком действия, согласно реализованной схеме подтверждения соответствия.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отрицательных результатах испытаний и/или анализа предоставленных Заявителем документов, подтверждающих соответствие требованиям безопасности технического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(-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их) регламента (-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ТС (ЕАЭС), и/или анализа состояния производства направить Заявителю обоснованное решение об отказе в выдаче сертификата соответствия или регистрации д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кларации о соответствии.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этом Исполнитель не несет ответственность за техническое состояние образцов, не прошедших испытания на соответствие требованиям технического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(-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их) регламента (-</w:t>
            </w:r>
            <w:proofErr w:type="spell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ТС (ЕАЭС).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приостановления, возобновления, прекращения действия декларации о соотве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ствии на основании предписания органа государственного контроля (надзора) или прекр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щения действия декларации о соответствии по решению Заявителя направлять соотве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ствующие сведения в ТОО «Национальный центр аккредитации».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Обеспечить соблюдение конфиденциальности информации, составляющей коммерческую тайну и не передавать ее третьим лицам без письменного согласия Заявителя, за исключ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нием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несоответствии продукции установленным требованиям или ее потенц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опасности для потребителя.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Нести ответственность за обеспечение беспристрастности при осуществлении деятельн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по подтверждению соответствия и не допускать коммерческого, финансового или др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гого давления, подвергающего риску беспристрастность.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Проводить в установленные сроки инспекционный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продукцией, прошедшей подтверждение соответствия (если это предусмотрено схемой подтверждения соотве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ствия).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2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Выступать гарантом защиты выданного сертификата соответствия при условии выполн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Заявителем п.п.2.1, 2.2 настоящего Договора.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"/>
              <w:numPr>
                <w:ilvl w:val="0"/>
                <w:numId w:val="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 РАБОТ И ПОРЯДОК РАСЧЕТОВ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470"/>
                <w:tab w:val="left" w:pos="830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Стоимость проводимых Исполнителем работ по проведению подтверждения соответствия продукции***:</w:t>
            </w:r>
          </w:p>
          <w:p w:rsidR="005C3445" w:rsidRPr="007959A6" w:rsidRDefault="005C3445" w:rsidP="005C3445">
            <w:pPr>
              <w:pStyle w:val="a0"/>
              <w:numPr>
                <w:ilvl w:val="0"/>
                <w:numId w:val="14"/>
              </w:numPr>
              <w:tabs>
                <w:tab w:val="left" w:pos="709"/>
                <w:tab w:val="left" w:pos="1134"/>
              </w:tabs>
              <w:ind w:left="0" w:firstLine="0"/>
              <w:outlineLvl w:val="9"/>
              <w:rPr>
                <w:bCs/>
                <w:lang w:val="ru-RU"/>
              </w:rPr>
            </w:pPr>
            <w:r w:rsidRPr="007959A6">
              <w:rPr>
                <w:bCs/>
                <w:lang w:val="ru-RU"/>
              </w:rPr>
              <w:t>составляет</w:t>
            </w:r>
            <w:proofErr w:type="gramStart"/>
            <w:r w:rsidRPr="007959A6">
              <w:rPr>
                <w:bCs/>
                <w:lang w:val="ru-RU"/>
              </w:rPr>
              <w:t xml:space="preserve"> ______________ (______________________________) </w:t>
            </w:r>
            <w:proofErr w:type="gramEnd"/>
            <w:r w:rsidRPr="007959A6">
              <w:rPr>
                <w:bCs/>
                <w:lang w:val="ru-RU"/>
              </w:rPr>
              <w:t xml:space="preserve">тенге _____ </w:t>
            </w:r>
            <w:proofErr w:type="spellStart"/>
            <w:r w:rsidRPr="007959A6">
              <w:rPr>
                <w:bCs/>
                <w:lang w:val="ru-RU"/>
              </w:rPr>
              <w:t>тиын</w:t>
            </w:r>
            <w:proofErr w:type="spellEnd"/>
            <w:r w:rsidRPr="007959A6">
              <w:rPr>
                <w:bCs/>
                <w:lang w:val="ru-RU"/>
              </w:rPr>
              <w:t xml:space="preserve"> и указывается в выставленном счете на оплату;</w:t>
            </w:r>
          </w:p>
          <w:p w:rsidR="005C3445" w:rsidRPr="007959A6" w:rsidRDefault="005C3445" w:rsidP="005C3445">
            <w:pPr>
              <w:pStyle w:val="a0"/>
              <w:numPr>
                <w:ilvl w:val="0"/>
                <w:numId w:val="14"/>
              </w:numPr>
              <w:tabs>
                <w:tab w:val="left" w:pos="709"/>
                <w:tab w:val="left" w:pos="1134"/>
              </w:tabs>
              <w:ind w:left="0" w:firstLine="0"/>
              <w:outlineLvl w:val="9"/>
              <w:rPr>
                <w:bCs/>
                <w:lang w:val="ru-RU"/>
              </w:rPr>
            </w:pPr>
            <w:r w:rsidRPr="007959A6">
              <w:rPr>
                <w:bCs/>
                <w:lang w:val="ru-RU"/>
              </w:rPr>
              <w:t>указывается в выставленном счете на оплату;</w:t>
            </w:r>
          </w:p>
          <w:p w:rsidR="005C3445" w:rsidRPr="007959A6" w:rsidRDefault="005C3445" w:rsidP="005C3445">
            <w:pPr>
              <w:pStyle w:val="a0"/>
              <w:numPr>
                <w:ilvl w:val="0"/>
                <w:numId w:val="14"/>
              </w:numPr>
              <w:tabs>
                <w:tab w:val="left" w:pos="709"/>
                <w:tab w:val="left" w:pos="1134"/>
              </w:tabs>
              <w:ind w:left="0" w:firstLine="0"/>
              <w:outlineLvl w:val="9"/>
              <w:rPr>
                <w:bCs/>
                <w:lang w:val="ru-RU"/>
              </w:rPr>
            </w:pPr>
            <w:r w:rsidRPr="007959A6">
              <w:rPr>
                <w:bCs/>
              </w:rPr>
              <w:t>указывается в Дополнительном соглашении к настоящему Договору.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09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Оплата производится Заявителем согласно выставленному счету в течение 3 (трех) банко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ских дней с момента выставления счета на расчетный счет или наличным платежом в кассу Исполнителя.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09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Командировочные расходы Исполнителя, если таковые возникли в процессе исполнения обязательств Исполнителем, оплачиваются Заявителем отдельно, согласно выставленному счету.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43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За нарушение сроков оплаты, указанных в п.3.2 Договора, Заявитель уплачивает Исполн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телю неустойку в размере 0,1% от стоимости работ за каждый день просрочки, но не более 10% от стоимости работ по настоящему Договору.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09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Сроки исполнения обязательств в течение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 (____________) </w:t>
            </w:r>
            <w:proofErr w:type="gramEnd"/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рабочих дней с момента предоставления документации и образцов на испытания (если предусмотрено схемой по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д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тверждения соответствия) и получения денежных средств по выставленному счету.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09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В случае нарушения Исполнителем сроков выполнения работ по настоящему Договору, Заявитель вправе предъявить Исполнителю письменное требование, а Исполнитель, при получении такого требования, уплачивает Заявителю неустойку в размере 0,1% от стоим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сти работ за каждый день просрочки, но не более 10% от стоимости работ по настоящему Договору.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09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В случае неисполнения обязательств по проведению работ по подтверждению соотве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ствия продукции Исполнитель обязуется вернуть перечисленную сумму в течение 3 (трех) банковских дней после истечения срока, указанного в п.3.5 настоящего Договора.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09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По окончании выполнения работ по подтверждению соответствия продукции Исполнитель представляет Заявителю Акт выполненных работ и счет-фактуру.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pStyle w:val="11"/>
              <w:numPr>
                <w:ilvl w:val="0"/>
                <w:numId w:val="0"/>
              </w:numPr>
              <w:tabs>
                <w:tab w:val="clear" w:pos="426"/>
                <w:tab w:val="left" w:pos="709"/>
              </w:tabs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Заявитель в течение 2 (двух) рабочих дней со дня получения Акта выполненных работ об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зан подписать акт и возвратить Исполнителю. В случае наличия замечаний Заявитель направляет Исполнителю уведомление с обоснованием причины не подписания Акта в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ы</w:t>
            </w:r>
            <w:r w:rsidRPr="007959A6">
              <w:rPr>
                <w:rFonts w:ascii="Times New Roman" w:eastAsia="Times New Roman" w:hAnsi="Times New Roman" w:cs="Times New Roman"/>
                <w:lang w:val="ru-RU" w:eastAsia="ru-RU"/>
              </w:rPr>
              <w:t>полненных работ. В противном случае, а также в случае не мотивированного возражения Акт выполненных работ считается принятым.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невыполнение обязательств по настоящему Договору Исполнитель и Заявитель несут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имущественную ответственность в соответствии с действующим законодательством Ре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публики Казахстан.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РАССМОТРЕНИЯ СПОРОВ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Заявитель и Исполнитель обязуются любые споры и разногласия, которые могут возни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нуть при выполнении работ по настоящему Договору, решать путем переговоров.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когда стороны не могут прийти к соглашению, вопрос подлежит рассмотрению в суде в соответствии с действующим законодательством Республики Казахстан.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суда является окончательным для обеих сторон.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ФОРС-МАЖОР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Стороны освобождаются от ответственности за частичное или полное неисполнение обяз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тельств по настоящему Договору, если они явились следствием непреодолимой силы, а именно: пожара, наводнения, землетрясения и других чрезвычайных происшествий и если эти обстоятельства непосредственно повлияли на исполнение настоящего Договора. При этом сроки выполнения обязательств по Договору отодвигаются соразмерно времени, в течение которого действовали такие обстоятельства.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Настоящий договор вступает в силу с момента подписания его сторонами и действует до исполнения сторонами взятых на себя обязательств.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изменения и дополнения к настоящему договору имеют юридическую силу только при взаимном удостоверении представителями сторон в каждом отдельном случае.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несоблюдении Заявителем п.п.2.1, 2.2 настоящего Договора Исполнитель имеет право расторгнуть Договор в одностороннем порядке при частичном выполнении работ по по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тверждению соответствия продукции, проведение которых подтверждается Актом выпо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ненных работ.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вопросы, не оговоренные в настоящем Договоре, при необходимости регулируются Дополнительным соглашением или в Приложении к настоящему Договору, вступающем в силу с момента его подписания Сторонами.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Настоящий договор составлен в двух экземплярах, по одному для каждой из сторон.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ДОГОВОРА И ЮРИДИЧЕСКИЕ АДРЕСА СТОРОН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действия договора:</w:t>
            </w:r>
          </w:p>
        </w:tc>
      </w:tr>
      <w:tr w:rsidR="005C3445" w:rsidRPr="007959A6" w:rsidTr="003E7A44">
        <w:tc>
          <w:tcPr>
            <w:tcW w:w="1666" w:type="dxa"/>
            <w:gridSpan w:val="4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974" w:type="dxa"/>
            <w:gridSpan w:val="8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3445" w:rsidRPr="007959A6" w:rsidTr="003E7A44">
        <w:tc>
          <w:tcPr>
            <w:tcW w:w="1666" w:type="dxa"/>
            <w:gridSpan w:val="4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7974" w:type="dxa"/>
            <w:gridSpan w:val="8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И РАСЧЕТНЫЕ СЧЕТА СТОРОН: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820" w:type="dxa"/>
            <w:gridSpan w:val="5"/>
            <w:hideMark/>
          </w:tcPr>
          <w:p w:rsidR="005C3445" w:rsidRPr="007959A6" w:rsidRDefault="005C3445" w:rsidP="003E7A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«Заявитель»</w:t>
            </w: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ТОО «КАЗЭКСПОАУДИТ»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Юр. адрес: 050031, Республика Казахстан, г. Алматы, пр. </w:t>
            </w:r>
            <w:proofErr w:type="spellStart"/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, 506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Факт. адрес: 050012, Республика Казахстан, г. Алматы, ул. Жамбыла, 106</w:t>
            </w:r>
            <w:proofErr w:type="gramStart"/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БИН 051140007834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реквизиты:**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Казкоммерцбанк</w:t>
            </w:r>
            <w:proofErr w:type="spellEnd"/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» г. Алматы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153" w:type="dxa"/>
            <w:gridSpan w:val="3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IBAN</w:t>
            </w:r>
          </w:p>
        </w:tc>
        <w:tc>
          <w:tcPr>
            <w:tcW w:w="3667" w:type="dxa"/>
            <w:gridSpan w:val="4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KZ85 9261 8021 1208 9000 (KZT)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153" w:type="dxa"/>
            <w:gridSpan w:val="3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KZ58 9261 8021 1208 9001 (USD)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153" w:type="dxa"/>
            <w:gridSpan w:val="3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KZ31 9261 8021 1208 9002 (EUR)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153" w:type="dxa"/>
            <w:gridSpan w:val="3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KZ74 9261 8021 1208 9004 (RUB)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KZKOKZKX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«Банк </w:t>
            </w:r>
            <w:proofErr w:type="spellStart"/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ЦентрКредит</w:t>
            </w:r>
            <w:proofErr w:type="spellEnd"/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» г. Алматы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153" w:type="dxa"/>
            <w:gridSpan w:val="3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3667" w:type="dxa"/>
            <w:gridSpan w:val="4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KZ75 8560 0000 0000 5530 (KZT)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153" w:type="dxa"/>
            <w:gridSpan w:val="3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KZ68 8560 0000 0014 7664 (RUR)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153" w:type="dxa"/>
            <w:gridSpan w:val="3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KZ34</w:t>
            </w: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8560</w:t>
            </w: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0962</w:t>
            </w: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1684 (USD)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БИК KCJBKZKX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4820" w:type="dxa"/>
            <w:gridSpan w:val="7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b/>
                <w:sz w:val="24"/>
                <w:szCs w:val="24"/>
              </w:rPr>
              <w:t>ДБ АО «Сбербанк» г. Алматы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087" w:type="dxa"/>
            <w:gridSpan w:val="2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3733" w:type="dxa"/>
            <w:gridSpan w:val="5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KZ90914002203KZ004XF (KZT)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087" w:type="dxa"/>
            <w:gridSpan w:val="2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KZ40614002203US00212 (USD)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087" w:type="dxa"/>
            <w:gridSpan w:val="2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KZ27914002203EU000YK(EUR)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1087" w:type="dxa"/>
            <w:gridSpan w:val="2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3" w:type="dxa"/>
            <w:gridSpan w:val="5"/>
            <w:hideMark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5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KZ81914002203RU00201 (RUB)</w:t>
            </w:r>
          </w:p>
        </w:tc>
        <w:tc>
          <w:tcPr>
            <w:tcW w:w="4820" w:type="dxa"/>
            <w:gridSpan w:val="5"/>
          </w:tcPr>
          <w:p w:rsidR="005C3445" w:rsidRPr="007959A6" w:rsidRDefault="005C3445" w:rsidP="003E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ПОДПИСИ СТОРОН:</w:t>
            </w: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numPr>
                <w:ilvl w:val="1"/>
                <w:numId w:val="0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5382" w:type="dxa"/>
            <w:gridSpan w:val="8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4258" w:type="dxa"/>
            <w:gridSpan w:val="4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«Заявитель»</w:t>
            </w:r>
          </w:p>
        </w:tc>
      </w:tr>
      <w:tr w:rsidR="005C3445" w:rsidRPr="007959A6" w:rsidTr="003E7A44">
        <w:tc>
          <w:tcPr>
            <w:tcW w:w="534" w:type="dxa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Л.В. Инюшина</w:t>
            </w:r>
          </w:p>
        </w:tc>
        <w:tc>
          <w:tcPr>
            <w:tcW w:w="276" w:type="dxa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534" w:type="dxa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4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5" w:type="dxa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2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(инициалы, фамилия)</w:t>
            </w:r>
          </w:p>
        </w:tc>
        <w:tc>
          <w:tcPr>
            <w:tcW w:w="276" w:type="dxa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C3445" w:rsidRPr="007959A6" w:rsidRDefault="005C3445" w:rsidP="003E7A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(инициалы, фам</w:t>
            </w:r>
            <w:r w:rsidRPr="007959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</w:t>
            </w:r>
            <w:r w:rsidRPr="007959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лия)</w:t>
            </w:r>
          </w:p>
        </w:tc>
      </w:tr>
      <w:tr w:rsidR="005C3445" w:rsidRPr="007959A6" w:rsidTr="003E7A44">
        <w:tc>
          <w:tcPr>
            <w:tcW w:w="5382" w:type="dxa"/>
            <w:gridSpan w:val="8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258" w:type="dxa"/>
            <w:gridSpan w:val="4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  <w:tr w:rsidR="005C3445" w:rsidRPr="007959A6" w:rsidTr="003E7A44">
        <w:tc>
          <w:tcPr>
            <w:tcW w:w="5382" w:type="dxa"/>
            <w:gridSpan w:val="8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8" w:type="dxa"/>
            <w:gridSpan w:val="4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___________________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__</w:t>
            </w:r>
            <w:r w:rsidRPr="00795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3445" w:rsidRPr="007959A6" w:rsidTr="003E7A44">
        <w:tc>
          <w:tcPr>
            <w:tcW w:w="5382" w:type="dxa"/>
            <w:gridSpan w:val="8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8" w:type="dxa"/>
            <w:gridSpan w:val="4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3445" w:rsidRPr="007959A6" w:rsidTr="003E7A44">
        <w:tc>
          <w:tcPr>
            <w:tcW w:w="9640" w:type="dxa"/>
            <w:gridSpan w:val="12"/>
            <w:shd w:val="clear" w:color="auto" w:fill="auto"/>
          </w:tcPr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 заполняется при привлечении лабораторий по субподряду</w:t>
            </w:r>
          </w:p>
          <w:p w:rsidR="005C3445" w:rsidRPr="007959A6" w:rsidRDefault="005C3445" w:rsidP="003E7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9A6">
              <w:rPr>
                <w:rFonts w:ascii="Times New Roman" w:hAnsi="Times New Roman" w:cs="Times New Roman"/>
                <w:sz w:val="20"/>
                <w:szCs w:val="20"/>
              </w:rPr>
              <w:t>** при заполнении договора в тенге, достаточно выбрать один банковский счет</w:t>
            </w:r>
          </w:p>
          <w:p w:rsidR="005C3445" w:rsidRPr="007959A6" w:rsidRDefault="005C3445" w:rsidP="003E7A4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5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*** выбрать одно из </w:t>
            </w:r>
            <w:proofErr w:type="gramStart"/>
            <w:r w:rsidRPr="007959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перечисленного</w:t>
            </w:r>
            <w:proofErr w:type="gramEnd"/>
          </w:p>
        </w:tc>
      </w:tr>
    </w:tbl>
    <w:p w:rsidR="005C3445" w:rsidRPr="007959A6" w:rsidRDefault="005C3445" w:rsidP="005C3445">
      <w:pPr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p w:rsidR="005C3445" w:rsidRPr="007959A6" w:rsidRDefault="005C3445" w:rsidP="005C3445"/>
    <w:p w:rsidR="0043206B" w:rsidRPr="005C3445" w:rsidRDefault="0043206B" w:rsidP="005C3445">
      <w:bookmarkStart w:id="0" w:name="_GoBack"/>
      <w:bookmarkEnd w:id="0"/>
    </w:p>
    <w:sectPr w:rsidR="0043206B" w:rsidRPr="005C34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F7" w:rsidRDefault="00E678F7" w:rsidP="00EE0148">
      <w:r>
        <w:separator/>
      </w:r>
    </w:p>
  </w:endnote>
  <w:endnote w:type="continuationSeparator" w:id="0">
    <w:p w:rsidR="00E678F7" w:rsidRDefault="00E678F7" w:rsidP="00E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02108151"/>
      <w:docPartObj>
        <w:docPartGallery w:val="Page Numbers (Bottom of Page)"/>
        <w:docPartUnique/>
      </w:docPartObj>
    </w:sdtPr>
    <w:sdtEndPr/>
    <w:sdtContent>
      <w:p w:rsidR="00DC7154" w:rsidRPr="00DC7154" w:rsidRDefault="00DC7154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71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71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71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34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C71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F7" w:rsidRDefault="00E678F7" w:rsidP="00EE0148">
      <w:r>
        <w:separator/>
      </w:r>
    </w:p>
  </w:footnote>
  <w:footnote w:type="continuationSeparator" w:id="0">
    <w:p w:rsidR="00E678F7" w:rsidRDefault="00E678F7" w:rsidP="00EE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83666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0C7"/>
    <w:multiLevelType w:val="multilevel"/>
    <w:tmpl w:val="B8341EB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pStyle w:val="11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CCC739B"/>
    <w:multiLevelType w:val="hybridMultilevel"/>
    <w:tmpl w:val="915A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6F35"/>
    <w:multiLevelType w:val="hybridMultilevel"/>
    <w:tmpl w:val="109C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248BC"/>
    <w:multiLevelType w:val="hybridMultilevel"/>
    <w:tmpl w:val="8A822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7F68D4"/>
    <w:multiLevelType w:val="hybridMultilevel"/>
    <w:tmpl w:val="9F3AFC4E"/>
    <w:lvl w:ilvl="0" w:tplc="2014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D3508"/>
    <w:multiLevelType w:val="hybridMultilevel"/>
    <w:tmpl w:val="2A349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565A"/>
    <w:multiLevelType w:val="hybridMultilevel"/>
    <w:tmpl w:val="E45E76C6"/>
    <w:lvl w:ilvl="0" w:tplc="2014E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3511D"/>
    <w:multiLevelType w:val="hybridMultilevel"/>
    <w:tmpl w:val="3528D0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253191"/>
    <w:multiLevelType w:val="hybridMultilevel"/>
    <w:tmpl w:val="9934E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B6D76"/>
    <w:multiLevelType w:val="hybridMultilevel"/>
    <w:tmpl w:val="2A34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929A3"/>
    <w:multiLevelType w:val="multilevel"/>
    <w:tmpl w:val="64AEBFBA"/>
    <w:lvl w:ilvl="0">
      <w:start w:val="1"/>
      <w:numFmt w:val="decimal"/>
      <w:pStyle w:val="a"/>
      <w:lvlText w:val="%1"/>
      <w:lvlJc w:val="left"/>
      <w:pPr>
        <w:tabs>
          <w:tab w:val="num" w:pos="290"/>
        </w:tabs>
        <w:ind w:left="290" w:hanging="290"/>
      </w:pPr>
    </w:lvl>
    <w:lvl w:ilvl="1">
      <w:start w:val="1"/>
      <w:numFmt w:val="decimal"/>
      <w:pStyle w:val="a0"/>
      <w:lvlText w:val="%1.%2"/>
      <w:lvlJc w:val="left"/>
      <w:pPr>
        <w:tabs>
          <w:tab w:val="num" w:pos="852"/>
        </w:tabs>
        <w:ind w:left="851" w:firstLine="0"/>
      </w:pPr>
      <w:rPr>
        <w:lang w:val="ru-RU"/>
      </w:rPr>
    </w:lvl>
    <w:lvl w:ilvl="2">
      <w:start w:val="1"/>
      <w:numFmt w:val="decimal"/>
      <w:pStyle w:val="a1"/>
      <w:lvlText w:val="%1.%2.%3"/>
      <w:lvlJc w:val="left"/>
      <w:pPr>
        <w:tabs>
          <w:tab w:val="num" w:pos="1855"/>
        </w:tabs>
        <w:ind w:left="1855" w:hanging="578"/>
      </w:pPr>
    </w:lvl>
    <w:lvl w:ilvl="3">
      <w:start w:val="1"/>
      <w:numFmt w:val="decimal"/>
      <w:pStyle w:val="a2"/>
      <w:lvlText w:val="%1.%2.%3.%4"/>
      <w:lvlJc w:val="left"/>
      <w:pPr>
        <w:tabs>
          <w:tab w:val="num" w:pos="567"/>
        </w:tabs>
        <w:ind w:left="0" w:firstLine="0"/>
      </w:pPr>
    </w:lvl>
    <w:lvl w:ilvl="4">
      <w:start w:val="1"/>
      <w:numFmt w:val="decimal"/>
      <w:pStyle w:val="a3"/>
      <w:lvlText w:val="%1.%2.%3.%4.%5"/>
      <w:lvlJc w:val="left"/>
      <w:pPr>
        <w:tabs>
          <w:tab w:val="num" w:pos="866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</w:lvl>
  </w:abstractNum>
  <w:abstractNum w:abstractNumId="12">
    <w:nsid w:val="6FB83F71"/>
    <w:multiLevelType w:val="multilevel"/>
    <w:tmpl w:val="3790E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1B903E9"/>
    <w:multiLevelType w:val="hybridMultilevel"/>
    <w:tmpl w:val="83666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84"/>
    <w:rsid w:val="00061838"/>
    <w:rsid w:val="00091C19"/>
    <w:rsid w:val="00164883"/>
    <w:rsid w:val="001B4069"/>
    <w:rsid w:val="001D4FCF"/>
    <w:rsid w:val="00271023"/>
    <w:rsid w:val="003B5033"/>
    <w:rsid w:val="00427957"/>
    <w:rsid w:val="0043206B"/>
    <w:rsid w:val="0045074A"/>
    <w:rsid w:val="00475DEA"/>
    <w:rsid w:val="004B4A40"/>
    <w:rsid w:val="004C76A3"/>
    <w:rsid w:val="00525AD6"/>
    <w:rsid w:val="00530512"/>
    <w:rsid w:val="00531BE3"/>
    <w:rsid w:val="005C3445"/>
    <w:rsid w:val="005D2C90"/>
    <w:rsid w:val="005E1884"/>
    <w:rsid w:val="00645017"/>
    <w:rsid w:val="00711DBE"/>
    <w:rsid w:val="00727D5E"/>
    <w:rsid w:val="00752E2D"/>
    <w:rsid w:val="007A2E5A"/>
    <w:rsid w:val="007A5FAE"/>
    <w:rsid w:val="007B2D71"/>
    <w:rsid w:val="007D0AA2"/>
    <w:rsid w:val="007D3BED"/>
    <w:rsid w:val="00841ABA"/>
    <w:rsid w:val="00864A9F"/>
    <w:rsid w:val="008F44A0"/>
    <w:rsid w:val="00937709"/>
    <w:rsid w:val="009F09BF"/>
    <w:rsid w:val="00A15948"/>
    <w:rsid w:val="00A6686F"/>
    <w:rsid w:val="00A83CAE"/>
    <w:rsid w:val="00A93FC3"/>
    <w:rsid w:val="00AA013F"/>
    <w:rsid w:val="00AA61BA"/>
    <w:rsid w:val="00B12AC9"/>
    <w:rsid w:val="00B50906"/>
    <w:rsid w:val="00B5623A"/>
    <w:rsid w:val="00B669A9"/>
    <w:rsid w:val="00B81C5F"/>
    <w:rsid w:val="00BA4975"/>
    <w:rsid w:val="00BC79EE"/>
    <w:rsid w:val="00C022D5"/>
    <w:rsid w:val="00C14743"/>
    <w:rsid w:val="00D152B0"/>
    <w:rsid w:val="00D5050C"/>
    <w:rsid w:val="00D64413"/>
    <w:rsid w:val="00D81D2A"/>
    <w:rsid w:val="00D903E9"/>
    <w:rsid w:val="00DA4058"/>
    <w:rsid w:val="00DC7154"/>
    <w:rsid w:val="00DE512B"/>
    <w:rsid w:val="00E01B54"/>
    <w:rsid w:val="00E338C1"/>
    <w:rsid w:val="00E678F7"/>
    <w:rsid w:val="00ED5EEA"/>
    <w:rsid w:val="00EE0148"/>
    <w:rsid w:val="00EE2560"/>
    <w:rsid w:val="00EE7000"/>
    <w:rsid w:val="00F24A28"/>
    <w:rsid w:val="00F95CFF"/>
    <w:rsid w:val="00FA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E1884"/>
    <w:pPr>
      <w:spacing w:after="0" w:line="240" w:lineRule="auto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7">
    <w:name w:val="Сетка таблицы7"/>
    <w:basedOn w:val="a7"/>
    <w:next w:val="a9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7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5"/>
    <w:link w:val="ab"/>
    <w:uiPriority w:val="99"/>
    <w:semiHidden/>
    <w:unhideWhenUsed/>
    <w:rsid w:val="005E18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5E1884"/>
    <w:rPr>
      <w:rFonts w:ascii="Tahoma" w:hAnsi="Tahoma" w:cs="Tahoma"/>
      <w:sz w:val="16"/>
      <w:szCs w:val="16"/>
    </w:rPr>
  </w:style>
  <w:style w:type="table" w:customStyle="1" w:styleId="224">
    <w:name w:val="Сетка таблицы224"/>
    <w:basedOn w:val="a7"/>
    <w:next w:val="a9"/>
    <w:uiPriority w:val="59"/>
    <w:rsid w:val="00AA0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7"/>
    <w:next w:val="a9"/>
    <w:uiPriority w:val="59"/>
    <w:rsid w:val="001B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5"/>
    <w:link w:val="ad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6"/>
    <w:link w:val="ac"/>
    <w:uiPriority w:val="99"/>
    <w:rsid w:val="00EE0148"/>
  </w:style>
  <w:style w:type="paragraph" w:styleId="ae">
    <w:name w:val="footer"/>
    <w:basedOn w:val="a5"/>
    <w:link w:val="af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EE0148"/>
  </w:style>
  <w:style w:type="table" w:customStyle="1" w:styleId="21">
    <w:name w:val="Сетка таблицы21"/>
    <w:basedOn w:val="a7"/>
    <w:next w:val="a9"/>
    <w:uiPriority w:val="59"/>
    <w:rsid w:val="004B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6"/>
    <w:rsid w:val="004B4A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0">
    <w:name w:val="Приложение"/>
    <w:basedOn w:val="a5"/>
    <w:uiPriority w:val="99"/>
    <w:rsid w:val="00475DEA"/>
    <w:pPr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customStyle="1" w:styleId="13">
    <w:name w:val="Сетка таблицы13"/>
    <w:basedOn w:val="a7"/>
    <w:next w:val="a9"/>
    <w:uiPriority w:val="59"/>
    <w:rsid w:val="00937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7"/>
    <w:next w:val="a9"/>
    <w:uiPriority w:val="59"/>
    <w:rsid w:val="005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7"/>
    <w:next w:val="a9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7"/>
    <w:next w:val="a9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ица2"/>
    <w:rsid w:val="007B2D71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table" w:customStyle="1" w:styleId="91">
    <w:name w:val="Сетка таблицы91"/>
    <w:basedOn w:val="a7"/>
    <w:next w:val="a9"/>
    <w:uiPriority w:val="59"/>
    <w:rsid w:val="00A66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7"/>
    <w:next w:val="a9"/>
    <w:uiPriority w:val="59"/>
    <w:rsid w:val="00A93F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7"/>
    <w:next w:val="a9"/>
    <w:rsid w:val="00C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5"/>
    <w:rsid w:val="00AA61BA"/>
    <w:pPr>
      <w:numPr>
        <w:ilvl w:val="1"/>
        <w:numId w:val="4"/>
      </w:numPr>
      <w:tabs>
        <w:tab w:val="left" w:pos="1276"/>
      </w:tabs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7"/>
    <w:next w:val="a9"/>
    <w:uiPriority w:val="59"/>
    <w:rsid w:val="00AA61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Линия"/>
    <w:basedOn w:val="a4"/>
    <w:rsid w:val="00FA4824"/>
    <w:pPr>
      <w:numPr>
        <w:ilvl w:val="0"/>
        <w:numId w:val="0"/>
      </w:numPr>
      <w:tabs>
        <w:tab w:val="clear" w:pos="1276"/>
        <w:tab w:val="right" w:leader="underscore" w:pos="9354"/>
      </w:tabs>
    </w:pPr>
    <w:rPr>
      <w:rFonts w:ascii="Arial" w:hAnsi="Arial"/>
      <w:sz w:val="28"/>
    </w:rPr>
  </w:style>
  <w:style w:type="paragraph" w:customStyle="1" w:styleId="af2">
    <w:name w:val="Таблица"/>
    <w:rsid w:val="00DC71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List Paragraph"/>
    <w:basedOn w:val="a5"/>
    <w:uiPriority w:val="34"/>
    <w:qFormat/>
    <w:rsid w:val="00752E2D"/>
    <w:pPr>
      <w:ind w:left="720"/>
      <w:contextualSpacing/>
    </w:pPr>
  </w:style>
  <w:style w:type="paragraph" w:styleId="af4">
    <w:name w:val="Plain Text"/>
    <w:basedOn w:val="a5"/>
    <w:link w:val="af5"/>
    <w:uiPriority w:val="99"/>
    <w:qFormat/>
    <w:rsid w:val="00752E2D"/>
    <w:pPr>
      <w:widowControl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Theme="minorEastAsia" w:hAnsi="Times New Roman" w:cs="Arial"/>
      <w:sz w:val="24"/>
      <w:szCs w:val="21"/>
      <w:lang w:eastAsia="ru-RU"/>
    </w:rPr>
  </w:style>
  <w:style w:type="character" w:customStyle="1" w:styleId="af5">
    <w:name w:val="Текст Знак"/>
    <w:basedOn w:val="a6"/>
    <w:link w:val="af4"/>
    <w:uiPriority w:val="99"/>
    <w:rsid w:val="00752E2D"/>
    <w:rPr>
      <w:rFonts w:ascii="Times New Roman" w:eastAsiaTheme="minorEastAsia" w:hAnsi="Times New Roman" w:cs="Arial"/>
      <w:sz w:val="24"/>
      <w:szCs w:val="21"/>
      <w:lang w:eastAsia="ru-RU"/>
    </w:rPr>
  </w:style>
  <w:style w:type="character" w:customStyle="1" w:styleId="12">
    <w:name w:val="1*** Знак"/>
    <w:link w:val="1"/>
    <w:locked/>
    <w:rsid w:val="005C3445"/>
    <w:rPr>
      <w:b/>
      <w:bCs/>
      <w:lang w:val="x-none"/>
    </w:rPr>
  </w:style>
  <w:style w:type="paragraph" w:customStyle="1" w:styleId="1">
    <w:name w:val="1***"/>
    <w:basedOn w:val="a5"/>
    <w:link w:val="12"/>
    <w:qFormat/>
    <w:rsid w:val="005C3445"/>
    <w:pPr>
      <w:numPr>
        <w:numId w:val="12"/>
      </w:numPr>
      <w:tabs>
        <w:tab w:val="left" w:pos="426"/>
      </w:tabs>
      <w:contextualSpacing/>
      <w:jc w:val="center"/>
    </w:pPr>
    <w:rPr>
      <w:b/>
      <w:bCs/>
      <w:lang w:val="x-none"/>
    </w:rPr>
  </w:style>
  <w:style w:type="paragraph" w:customStyle="1" w:styleId="11">
    <w:name w:val="1.1***"/>
    <w:basedOn w:val="a5"/>
    <w:link w:val="110"/>
    <w:qFormat/>
    <w:rsid w:val="005C3445"/>
    <w:pPr>
      <w:numPr>
        <w:ilvl w:val="1"/>
        <w:numId w:val="12"/>
      </w:numPr>
      <w:tabs>
        <w:tab w:val="left" w:pos="426"/>
      </w:tabs>
      <w:contextualSpacing/>
      <w:jc w:val="both"/>
    </w:pPr>
    <w:rPr>
      <w:bCs/>
      <w:sz w:val="24"/>
      <w:szCs w:val="24"/>
      <w:lang w:val="x-none"/>
    </w:rPr>
  </w:style>
  <w:style w:type="paragraph" w:customStyle="1" w:styleId="111">
    <w:name w:val="1.1.1***"/>
    <w:basedOn w:val="11"/>
    <w:qFormat/>
    <w:rsid w:val="005C3445"/>
    <w:pPr>
      <w:numPr>
        <w:ilvl w:val="2"/>
      </w:numPr>
      <w:tabs>
        <w:tab w:val="clear" w:pos="0"/>
        <w:tab w:val="num" w:pos="360"/>
      </w:tabs>
    </w:pPr>
  </w:style>
  <w:style w:type="character" w:customStyle="1" w:styleId="110">
    <w:name w:val="1.1*** Знак"/>
    <w:basedOn w:val="a6"/>
    <w:link w:val="11"/>
    <w:locked/>
    <w:rsid w:val="005C3445"/>
    <w:rPr>
      <w:bCs/>
      <w:sz w:val="24"/>
      <w:szCs w:val="24"/>
      <w:lang w:val="x-none"/>
    </w:rPr>
  </w:style>
  <w:style w:type="paragraph" w:customStyle="1" w:styleId="a2">
    <w:name w:val="****"/>
    <w:next w:val="a5"/>
    <w:autoRedefine/>
    <w:qFormat/>
    <w:rsid w:val="005C3445"/>
    <w:pPr>
      <w:numPr>
        <w:ilvl w:val="3"/>
        <w:numId w:val="13"/>
      </w:numPr>
      <w:overflowPunct w:val="0"/>
      <w:autoSpaceDE w:val="0"/>
      <w:autoSpaceDN w:val="0"/>
      <w:adjustRightInd w:val="0"/>
      <w:spacing w:after="0" w:line="240" w:lineRule="auto"/>
      <w:ind w:right="-7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*****"/>
    <w:next w:val="a5"/>
    <w:autoRedefine/>
    <w:qFormat/>
    <w:rsid w:val="005C3445"/>
    <w:pPr>
      <w:numPr>
        <w:ilvl w:val="4"/>
        <w:numId w:val="13"/>
      </w:numPr>
      <w:overflowPunct w:val="0"/>
      <w:autoSpaceDE w:val="0"/>
      <w:autoSpaceDN w:val="0"/>
      <w:adjustRightInd w:val="0"/>
      <w:spacing w:after="0" w:line="240" w:lineRule="auto"/>
      <w:ind w:right="-74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">
    <w:name w:val="*"/>
    <w:next w:val="a5"/>
    <w:autoRedefine/>
    <w:qFormat/>
    <w:rsid w:val="005C3445"/>
    <w:pPr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**"/>
    <w:next w:val="a5"/>
    <w:autoRedefine/>
    <w:qFormat/>
    <w:rsid w:val="005C3445"/>
    <w:pPr>
      <w:numPr>
        <w:ilvl w:val="1"/>
        <w:numId w:val="13"/>
      </w:numPr>
      <w:tabs>
        <w:tab w:val="left" w:pos="1418"/>
      </w:tabs>
      <w:spacing w:after="0" w:line="240" w:lineRule="auto"/>
      <w:ind w:left="0" w:right="191"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paragraph" w:customStyle="1" w:styleId="a1">
    <w:name w:val="***"/>
    <w:next w:val="a5"/>
    <w:autoRedefine/>
    <w:qFormat/>
    <w:rsid w:val="005C3445"/>
    <w:pPr>
      <w:numPr>
        <w:ilvl w:val="2"/>
        <w:numId w:val="13"/>
      </w:numPr>
      <w:tabs>
        <w:tab w:val="num" w:pos="1134"/>
      </w:tabs>
      <w:overflowPunct w:val="0"/>
      <w:autoSpaceDE w:val="0"/>
      <w:autoSpaceDN w:val="0"/>
      <w:adjustRightInd w:val="0"/>
      <w:spacing w:after="0" w:line="240" w:lineRule="auto"/>
      <w:ind w:left="0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E1884"/>
    <w:pPr>
      <w:spacing w:after="0" w:line="240" w:lineRule="auto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7">
    <w:name w:val="Сетка таблицы7"/>
    <w:basedOn w:val="a7"/>
    <w:next w:val="a9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7"/>
    <w:uiPriority w:val="59"/>
    <w:rsid w:val="005E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5"/>
    <w:link w:val="ab"/>
    <w:uiPriority w:val="99"/>
    <w:semiHidden/>
    <w:unhideWhenUsed/>
    <w:rsid w:val="005E18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5E1884"/>
    <w:rPr>
      <w:rFonts w:ascii="Tahoma" w:hAnsi="Tahoma" w:cs="Tahoma"/>
      <w:sz w:val="16"/>
      <w:szCs w:val="16"/>
    </w:rPr>
  </w:style>
  <w:style w:type="table" w:customStyle="1" w:styleId="224">
    <w:name w:val="Сетка таблицы224"/>
    <w:basedOn w:val="a7"/>
    <w:next w:val="a9"/>
    <w:uiPriority w:val="59"/>
    <w:rsid w:val="00AA01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7"/>
    <w:next w:val="a9"/>
    <w:uiPriority w:val="59"/>
    <w:rsid w:val="001B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5"/>
    <w:link w:val="ad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6"/>
    <w:link w:val="ac"/>
    <w:uiPriority w:val="99"/>
    <w:rsid w:val="00EE0148"/>
  </w:style>
  <w:style w:type="paragraph" w:styleId="ae">
    <w:name w:val="footer"/>
    <w:basedOn w:val="a5"/>
    <w:link w:val="af"/>
    <w:uiPriority w:val="99"/>
    <w:unhideWhenUsed/>
    <w:rsid w:val="00EE01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EE0148"/>
  </w:style>
  <w:style w:type="table" w:customStyle="1" w:styleId="21">
    <w:name w:val="Сетка таблицы21"/>
    <w:basedOn w:val="a7"/>
    <w:next w:val="a9"/>
    <w:uiPriority w:val="59"/>
    <w:rsid w:val="004B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6"/>
    <w:rsid w:val="004B4A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0">
    <w:name w:val="Приложение"/>
    <w:basedOn w:val="a5"/>
    <w:uiPriority w:val="99"/>
    <w:rsid w:val="00475DEA"/>
    <w:pPr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customStyle="1" w:styleId="13">
    <w:name w:val="Сетка таблицы13"/>
    <w:basedOn w:val="a7"/>
    <w:next w:val="a9"/>
    <w:uiPriority w:val="59"/>
    <w:rsid w:val="009377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7"/>
    <w:next w:val="a9"/>
    <w:uiPriority w:val="59"/>
    <w:rsid w:val="0053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7"/>
    <w:next w:val="a9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7"/>
    <w:next w:val="a9"/>
    <w:uiPriority w:val="59"/>
    <w:rsid w:val="008F44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Таблица2"/>
    <w:rsid w:val="007B2D71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table" w:customStyle="1" w:styleId="91">
    <w:name w:val="Сетка таблицы91"/>
    <w:basedOn w:val="a7"/>
    <w:next w:val="a9"/>
    <w:uiPriority w:val="59"/>
    <w:rsid w:val="00A668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7"/>
    <w:next w:val="a9"/>
    <w:uiPriority w:val="59"/>
    <w:rsid w:val="00A93FC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7"/>
    <w:next w:val="a9"/>
    <w:rsid w:val="00C1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5"/>
    <w:rsid w:val="00AA61BA"/>
    <w:pPr>
      <w:numPr>
        <w:ilvl w:val="1"/>
        <w:numId w:val="4"/>
      </w:numPr>
      <w:tabs>
        <w:tab w:val="left" w:pos="1276"/>
      </w:tabs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7"/>
    <w:next w:val="a9"/>
    <w:uiPriority w:val="59"/>
    <w:rsid w:val="00AA61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Линия"/>
    <w:basedOn w:val="a4"/>
    <w:rsid w:val="00FA4824"/>
    <w:pPr>
      <w:numPr>
        <w:ilvl w:val="0"/>
        <w:numId w:val="0"/>
      </w:numPr>
      <w:tabs>
        <w:tab w:val="clear" w:pos="1276"/>
        <w:tab w:val="right" w:leader="underscore" w:pos="9354"/>
      </w:tabs>
    </w:pPr>
    <w:rPr>
      <w:rFonts w:ascii="Arial" w:hAnsi="Arial"/>
      <w:sz w:val="28"/>
    </w:rPr>
  </w:style>
  <w:style w:type="paragraph" w:customStyle="1" w:styleId="af2">
    <w:name w:val="Таблица"/>
    <w:rsid w:val="00DC715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List Paragraph"/>
    <w:basedOn w:val="a5"/>
    <w:uiPriority w:val="34"/>
    <w:qFormat/>
    <w:rsid w:val="00752E2D"/>
    <w:pPr>
      <w:ind w:left="720"/>
      <w:contextualSpacing/>
    </w:pPr>
  </w:style>
  <w:style w:type="paragraph" w:styleId="af4">
    <w:name w:val="Plain Text"/>
    <w:basedOn w:val="a5"/>
    <w:link w:val="af5"/>
    <w:uiPriority w:val="99"/>
    <w:qFormat/>
    <w:rsid w:val="00752E2D"/>
    <w:pPr>
      <w:widowControl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Theme="minorEastAsia" w:hAnsi="Times New Roman" w:cs="Arial"/>
      <w:sz w:val="24"/>
      <w:szCs w:val="21"/>
      <w:lang w:eastAsia="ru-RU"/>
    </w:rPr>
  </w:style>
  <w:style w:type="character" w:customStyle="1" w:styleId="af5">
    <w:name w:val="Текст Знак"/>
    <w:basedOn w:val="a6"/>
    <w:link w:val="af4"/>
    <w:uiPriority w:val="99"/>
    <w:rsid w:val="00752E2D"/>
    <w:rPr>
      <w:rFonts w:ascii="Times New Roman" w:eastAsiaTheme="minorEastAsia" w:hAnsi="Times New Roman" w:cs="Arial"/>
      <w:sz w:val="24"/>
      <w:szCs w:val="21"/>
      <w:lang w:eastAsia="ru-RU"/>
    </w:rPr>
  </w:style>
  <w:style w:type="character" w:customStyle="1" w:styleId="12">
    <w:name w:val="1*** Знак"/>
    <w:link w:val="1"/>
    <w:locked/>
    <w:rsid w:val="005C3445"/>
    <w:rPr>
      <w:b/>
      <w:bCs/>
      <w:lang w:val="x-none"/>
    </w:rPr>
  </w:style>
  <w:style w:type="paragraph" w:customStyle="1" w:styleId="1">
    <w:name w:val="1***"/>
    <w:basedOn w:val="a5"/>
    <w:link w:val="12"/>
    <w:qFormat/>
    <w:rsid w:val="005C3445"/>
    <w:pPr>
      <w:numPr>
        <w:numId w:val="12"/>
      </w:numPr>
      <w:tabs>
        <w:tab w:val="left" w:pos="426"/>
      </w:tabs>
      <w:contextualSpacing/>
      <w:jc w:val="center"/>
    </w:pPr>
    <w:rPr>
      <w:b/>
      <w:bCs/>
      <w:lang w:val="x-none"/>
    </w:rPr>
  </w:style>
  <w:style w:type="paragraph" w:customStyle="1" w:styleId="11">
    <w:name w:val="1.1***"/>
    <w:basedOn w:val="a5"/>
    <w:link w:val="110"/>
    <w:qFormat/>
    <w:rsid w:val="005C3445"/>
    <w:pPr>
      <w:numPr>
        <w:ilvl w:val="1"/>
        <w:numId w:val="12"/>
      </w:numPr>
      <w:tabs>
        <w:tab w:val="left" w:pos="426"/>
      </w:tabs>
      <w:contextualSpacing/>
      <w:jc w:val="both"/>
    </w:pPr>
    <w:rPr>
      <w:bCs/>
      <w:sz w:val="24"/>
      <w:szCs w:val="24"/>
      <w:lang w:val="x-none"/>
    </w:rPr>
  </w:style>
  <w:style w:type="paragraph" w:customStyle="1" w:styleId="111">
    <w:name w:val="1.1.1***"/>
    <w:basedOn w:val="11"/>
    <w:qFormat/>
    <w:rsid w:val="005C3445"/>
    <w:pPr>
      <w:numPr>
        <w:ilvl w:val="2"/>
      </w:numPr>
      <w:tabs>
        <w:tab w:val="clear" w:pos="0"/>
        <w:tab w:val="num" w:pos="360"/>
      </w:tabs>
    </w:pPr>
  </w:style>
  <w:style w:type="character" w:customStyle="1" w:styleId="110">
    <w:name w:val="1.1*** Знак"/>
    <w:basedOn w:val="a6"/>
    <w:link w:val="11"/>
    <w:locked/>
    <w:rsid w:val="005C3445"/>
    <w:rPr>
      <w:bCs/>
      <w:sz w:val="24"/>
      <w:szCs w:val="24"/>
      <w:lang w:val="x-none"/>
    </w:rPr>
  </w:style>
  <w:style w:type="paragraph" w:customStyle="1" w:styleId="a2">
    <w:name w:val="****"/>
    <w:next w:val="a5"/>
    <w:autoRedefine/>
    <w:qFormat/>
    <w:rsid w:val="005C3445"/>
    <w:pPr>
      <w:numPr>
        <w:ilvl w:val="3"/>
        <w:numId w:val="13"/>
      </w:numPr>
      <w:overflowPunct w:val="0"/>
      <w:autoSpaceDE w:val="0"/>
      <w:autoSpaceDN w:val="0"/>
      <w:adjustRightInd w:val="0"/>
      <w:spacing w:after="0" w:line="240" w:lineRule="auto"/>
      <w:ind w:right="-7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*****"/>
    <w:next w:val="a5"/>
    <w:autoRedefine/>
    <w:qFormat/>
    <w:rsid w:val="005C3445"/>
    <w:pPr>
      <w:numPr>
        <w:ilvl w:val="4"/>
        <w:numId w:val="13"/>
      </w:numPr>
      <w:overflowPunct w:val="0"/>
      <w:autoSpaceDE w:val="0"/>
      <w:autoSpaceDN w:val="0"/>
      <w:adjustRightInd w:val="0"/>
      <w:spacing w:after="0" w:line="240" w:lineRule="auto"/>
      <w:ind w:right="-74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">
    <w:name w:val="*"/>
    <w:next w:val="a5"/>
    <w:autoRedefine/>
    <w:qFormat/>
    <w:rsid w:val="005C3445"/>
    <w:pPr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**"/>
    <w:next w:val="a5"/>
    <w:autoRedefine/>
    <w:qFormat/>
    <w:rsid w:val="005C3445"/>
    <w:pPr>
      <w:numPr>
        <w:ilvl w:val="1"/>
        <w:numId w:val="13"/>
      </w:numPr>
      <w:tabs>
        <w:tab w:val="left" w:pos="1418"/>
      </w:tabs>
      <w:spacing w:after="0" w:line="240" w:lineRule="auto"/>
      <w:ind w:left="0" w:right="191" w:firstLine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paragraph" w:customStyle="1" w:styleId="a1">
    <w:name w:val="***"/>
    <w:next w:val="a5"/>
    <w:autoRedefine/>
    <w:qFormat/>
    <w:rsid w:val="005C3445"/>
    <w:pPr>
      <w:numPr>
        <w:ilvl w:val="2"/>
        <w:numId w:val="13"/>
      </w:numPr>
      <w:tabs>
        <w:tab w:val="num" w:pos="1134"/>
      </w:tabs>
      <w:overflowPunct w:val="0"/>
      <w:autoSpaceDE w:val="0"/>
      <w:autoSpaceDN w:val="0"/>
      <w:adjustRightInd w:val="0"/>
      <w:spacing w:after="0" w:line="240" w:lineRule="auto"/>
      <w:ind w:left="0" w:firstLine="567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Демидова</dc:creator>
  <cp:lastModifiedBy>Nadezhda Demidova</cp:lastModifiedBy>
  <cp:revision>10</cp:revision>
  <dcterms:created xsi:type="dcterms:W3CDTF">2018-04-15T08:19:00Z</dcterms:created>
  <dcterms:modified xsi:type="dcterms:W3CDTF">2018-04-15T09:45:00Z</dcterms:modified>
</cp:coreProperties>
</file>